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2C" w:rsidRPr="00F8332C" w:rsidRDefault="00F8332C" w:rsidP="00F8332C">
      <w:pPr>
        <w:spacing w:after="255" w:line="300" w:lineRule="atLeast"/>
        <w:outlineLvl w:val="1"/>
        <w:rPr>
          <w:rFonts w:ascii="Arial" w:eastAsia="Times New Roman" w:hAnsi="Arial" w:cs="Arial"/>
          <w:b/>
          <w:bCs/>
          <w:color w:val="4D4D4D"/>
          <w:sz w:val="27"/>
          <w:szCs w:val="27"/>
          <w:lang w:eastAsia="ru-RU"/>
        </w:rPr>
      </w:pPr>
      <w:r w:rsidRPr="00F8332C">
        <w:rPr>
          <w:rFonts w:ascii="Arial" w:eastAsia="Times New Roman" w:hAnsi="Arial" w:cs="Arial"/>
          <w:b/>
          <w:bCs/>
          <w:color w:val="4D4D4D"/>
          <w:sz w:val="27"/>
          <w:szCs w:val="27"/>
          <w:lang w:eastAsia="ru-RU"/>
        </w:rPr>
        <w:t>Письмо Федеральной налоговой службы от 5 апреля 2019 г. № БС-4-21/6262 “О рассмотрении запроса”</w:t>
      </w:r>
    </w:p>
    <w:p w:rsidR="00F8332C" w:rsidRPr="00F8332C" w:rsidRDefault="00F8332C" w:rsidP="00F8332C">
      <w:pPr>
        <w:spacing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15 апреля 2019</w:t>
      </w:r>
    </w:p>
    <w:p w:rsidR="00F8332C" w:rsidRPr="00F8332C" w:rsidRDefault="00F8332C" w:rsidP="00F8332C">
      <w:pPr>
        <w:spacing w:after="255" w:line="240" w:lineRule="auto"/>
        <w:rPr>
          <w:rFonts w:ascii="Arial" w:eastAsia="Times New Roman" w:hAnsi="Arial" w:cs="Arial"/>
          <w:color w:val="000000"/>
          <w:sz w:val="21"/>
          <w:szCs w:val="21"/>
          <w:lang w:eastAsia="ru-RU"/>
        </w:rPr>
      </w:pPr>
      <w:bookmarkStart w:id="0" w:name="0"/>
      <w:bookmarkEnd w:id="0"/>
      <w:r w:rsidRPr="00F8332C">
        <w:rPr>
          <w:rFonts w:ascii="Arial" w:eastAsia="Times New Roman" w:hAnsi="Arial" w:cs="Arial"/>
          <w:color w:val="000000"/>
          <w:sz w:val="21"/>
          <w:szCs w:val="21"/>
          <w:lang w:eastAsia="ru-RU"/>
        </w:rPr>
        <w:t>Федеральная налоговая служба рассмотрела обращение по вопросу квалификации имущества в качестве движимого / недвижимого в целях определения порядка применения в отношении него норм Налогового кодекса Российской Федерации (далее - Кодекс) и рекомендует учитывать следующее.</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Кодекс не содержит определения понятий "движимое" и "недвижимое имущество". С учетом статьи 11 Кодекса в таком случае необходимо использовать определения, содержащиеся в иных отраслях законодательства.</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Согласно пункту 2 статьи 130 Гражданского кодекса Российской Федерации (далее - Гражданский кодекс), вещи, не относящиеся к недвижимости, признаются движимым имуществом.</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 xml:space="preserve">В свою очередь, исходя из пункта 1 статьи 130 Гражданского кодекса к недвижимым вещам относятся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также относятся помещения и </w:t>
      </w:r>
      <w:proofErr w:type="spellStart"/>
      <w:r w:rsidRPr="00F8332C">
        <w:rPr>
          <w:rFonts w:ascii="Arial" w:eastAsia="Times New Roman" w:hAnsi="Arial" w:cs="Arial"/>
          <w:color w:val="000000"/>
          <w:sz w:val="21"/>
          <w:szCs w:val="21"/>
          <w:lang w:eastAsia="ru-RU"/>
        </w:rPr>
        <w:t>машино</w:t>
      </w:r>
      <w:proofErr w:type="spellEnd"/>
      <w:r w:rsidRPr="00F8332C">
        <w:rPr>
          <w:rFonts w:ascii="Arial" w:eastAsia="Times New Roman" w:hAnsi="Arial" w:cs="Arial"/>
          <w:color w:val="000000"/>
          <w:sz w:val="21"/>
          <w:szCs w:val="21"/>
          <w:lang w:eastAsia="ru-RU"/>
        </w:rPr>
        <w:t>-места.</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Федеральным законом к недвижимым вещам может быть отнесено иное имущество.</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В соответствии со статьей 131 Гражданского кодекса и Федеральным законом "О государственной регистрации недвижимости" вещные права на объекты недвижимости подлежат государственной регистрации в едином государственном реестре недвижимости (далее - ЕГРН).</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Вместе с тем, целесообразно учитывать выводы, содержащиеся в определении Верховного Суда Российской Федерации от 07.04.2016 по делу N 310-ЭС15-16638. Суд отметил, что вещь является недвижимой либо в силу своих природных свойств (абзац первый пункта 1 статьи 130 Гражданского кодекса), либо в силу прямого указания федерального закона, что такой объект подчинен режиму недвижимых вещей (абзац второй пункта 1 статьи 130 Гражданского кодекса). По смыслу статьи 131 Гражданского кодекса закон в целях обеспечения стабильности гражданского оборота устанавливает необходимость государственной регистрации вещных прав на недвижимость. При этом, по общему правилу, государственная регистрация права на вещь не является обязательным условием для признания ее объектом недвижимости. Данный вывод содержится также в определении Судебной коллегии по экономическим спорам Верховного Суда Российской Федерации от 30.09.2015 N 303-ЭС15-5520.</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Таким образом, предусмотренные Гражданским кодексом основания для определения вида объектов имущества устанавливаются в каждом случае в соответствии с вышеперечисленными правовыми нормами об условиях (критериях) для признания вещи движимым или недвижимым имуществом.</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t>Для выявления оснований отнесения объекта имущества к недвижимости целесообразно исследовать: наличие записи об объекте в ЕГРН; при отсутствии сведений в ЕГРН - наличие документов,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 наличие документов технического учета или технической инвентаризации, разрешений на строительство и (или) на ввод объекта в эксплуатацию (при их необходимости), проектной документации, заключения экспертизы или иных документов, в которых содержатся сведения о соответствующих характеристиках объектов, и т.п.</w:t>
      </w:r>
    </w:p>
    <w:p w:rsidR="00F8332C" w:rsidRPr="00F8332C" w:rsidRDefault="00F8332C" w:rsidP="00F8332C">
      <w:pPr>
        <w:spacing w:after="255" w:line="240" w:lineRule="auto"/>
        <w:rPr>
          <w:rFonts w:ascii="Arial" w:eastAsia="Times New Roman" w:hAnsi="Arial" w:cs="Arial"/>
          <w:color w:val="000000"/>
          <w:sz w:val="21"/>
          <w:szCs w:val="21"/>
          <w:lang w:eastAsia="ru-RU"/>
        </w:rPr>
      </w:pPr>
      <w:r w:rsidRPr="00F8332C">
        <w:rPr>
          <w:rFonts w:ascii="Arial" w:eastAsia="Times New Roman" w:hAnsi="Arial" w:cs="Arial"/>
          <w:color w:val="000000"/>
          <w:sz w:val="21"/>
          <w:szCs w:val="21"/>
          <w:lang w:eastAsia="ru-RU"/>
        </w:rPr>
        <w:lastRenderedPageBreak/>
        <w:t>Учитывая изложенное, при отсутствии записей об объекте имущества в ЕГРН основания для применения норм Кодекса, зависящие от вида объекта имущества (движимое или недвижимое), определяются исходя из вышеперечисленных нормативных правовых актов и сложившейся судебной практики.</w:t>
      </w:r>
    </w:p>
    <w:tbl>
      <w:tblPr>
        <w:tblW w:w="5004" w:type="pct"/>
        <w:tblCellMar>
          <w:top w:w="15" w:type="dxa"/>
          <w:left w:w="15" w:type="dxa"/>
          <w:bottom w:w="15" w:type="dxa"/>
          <w:right w:w="15" w:type="dxa"/>
        </w:tblCellMar>
        <w:tblLook w:val="04A0" w:firstRow="1" w:lastRow="0" w:firstColumn="1" w:lastColumn="0" w:noHBand="0" w:noVBand="1"/>
      </w:tblPr>
      <w:tblGrid>
        <w:gridCol w:w="4681"/>
        <w:gridCol w:w="4681"/>
      </w:tblGrid>
      <w:tr w:rsidR="00F8332C" w:rsidRPr="00F8332C" w:rsidTr="00F8332C">
        <w:trPr>
          <w:trHeight w:val="814"/>
        </w:trPr>
        <w:tc>
          <w:tcPr>
            <w:tcW w:w="2500" w:type="pct"/>
            <w:hideMark/>
          </w:tcPr>
          <w:p w:rsidR="00F8332C" w:rsidRPr="00F8332C" w:rsidRDefault="00F8332C" w:rsidP="00F8332C">
            <w:pPr>
              <w:spacing w:after="0" w:line="240" w:lineRule="auto"/>
              <w:rPr>
                <w:rFonts w:ascii="Times New Roman" w:eastAsia="Times New Roman" w:hAnsi="Times New Roman" w:cs="Times New Roman"/>
                <w:sz w:val="24"/>
                <w:szCs w:val="24"/>
                <w:lang w:eastAsia="ru-RU"/>
              </w:rPr>
            </w:pPr>
            <w:bookmarkStart w:id="1" w:name="_GoBack"/>
            <w:bookmarkEnd w:id="1"/>
            <w:r w:rsidRPr="00F8332C">
              <w:rPr>
                <w:rFonts w:ascii="Times New Roman" w:eastAsia="Times New Roman" w:hAnsi="Times New Roman" w:cs="Times New Roman"/>
                <w:sz w:val="24"/>
                <w:szCs w:val="24"/>
                <w:lang w:eastAsia="ru-RU"/>
              </w:rPr>
              <w:t>Действительный государственный</w:t>
            </w:r>
            <w:r w:rsidRPr="00F8332C">
              <w:rPr>
                <w:rFonts w:ascii="Times New Roman" w:eastAsia="Times New Roman" w:hAnsi="Times New Roman" w:cs="Times New Roman"/>
                <w:sz w:val="24"/>
                <w:szCs w:val="24"/>
                <w:lang w:eastAsia="ru-RU"/>
              </w:rPr>
              <w:br/>
              <w:t>советник Российской Федерации</w:t>
            </w:r>
            <w:r w:rsidRPr="00F8332C">
              <w:rPr>
                <w:rFonts w:ascii="Times New Roman" w:eastAsia="Times New Roman" w:hAnsi="Times New Roman" w:cs="Times New Roman"/>
                <w:sz w:val="24"/>
                <w:szCs w:val="24"/>
                <w:lang w:eastAsia="ru-RU"/>
              </w:rPr>
              <w:br/>
              <w:t>2 класса</w:t>
            </w:r>
          </w:p>
        </w:tc>
        <w:tc>
          <w:tcPr>
            <w:tcW w:w="2500" w:type="pct"/>
            <w:hideMark/>
          </w:tcPr>
          <w:p w:rsidR="00F8332C" w:rsidRPr="00F8332C" w:rsidRDefault="00F8332C" w:rsidP="00F8332C">
            <w:pPr>
              <w:spacing w:after="0" w:line="240" w:lineRule="auto"/>
              <w:rPr>
                <w:rFonts w:ascii="Times New Roman" w:eastAsia="Times New Roman" w:hAnsi="Times New Roman" w:cs="Times New Roman"/>
                <w:sz w:val="24"/>
                <w:szCs w:val="24"/>
                <w:lang w:eastAsia="ru-RU"/>
              </w:rPr>
            </w:pPr>
            <w:r w:rsidRPr="00F8332C">
              <w:rPr>
                <w:rFonts w:ascii="Times New Roman" w:eastAsia="Times New Roman" w:hAnsi="Times New Roman" w:cs="Times New Roman"/>
                <w:sz w:val="24"/>
                <w:szCs w:val="24"/>
                <w:lang w:eastAsia="ru-RU"/>
              </w:rPr>
              <w:t>С.Л. Бондарчук</w:t>
            </w:r>
          </w:p>
        </w:tc>
      </w:tr>
    </w:tbl>
    <w:p w:rsidR="00132D48" w:rsidRDefault="00132D48" w:rsidP="00F8332C"/>
    <w:sectPr w:rsidR="00132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2C"/>
    <w:rsid w:val="000501EB"/>
    <w:rsid w:val="00132D48"/>
    <w:rsid w:val="00616C80"/>
    <w:rsid w:val="00734750"/>
    <w:rsid w:val="008123BA"/>
    <w:rsid w:val="009A0651"/>
    <w:rsid w:val="00BA372A"/>
    <w:rsid w:val="00BB7F93"/>
    <w:rsid w:val="00DF1885"/>
    <w:rsid w:val="00F419DA"/>
    <w:rsid w:val="00F8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A08E-26AA-4C6D-9F3B-C724FEA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3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character" w:customStyle="1" w:styleId="20">
    <w:name w:val="Заголовок 2 Знак"/>
    <w:basedOn w:val="a0"/>
    <w:link w:val="2"/>
    <w:uiPriority w:val="9"/>
    <w:rsid w:val="00F8332C"/>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F83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3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0994">
      <w:bodyDiv w:val="1"/>
      <w:marLeft w:val="0"/>
      <w:marRight w:val="0"/>
      <w:marTop w:val="0"/>
      <w:marBottom w:val="0"/>
      <w:divBdr>
        <w:top w:val="none" w:sz="0" w:space="0" w:color="auto"/>
        <w:left w:val="none" w:sz="0" w:space="0" w:color="auto"/>
        <w:bottom w:val="none" w:sz="0" w:space="0" w:color="auto"/>
        <w:right w:val="none" w:sz="0" w:space="0" w:color="auto"/>
      </w:divBdr>
      <w:divsChild>
        <w:div w:id="109775488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FBK Grant Thornton</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2019-04-23T07:32:00Z</dcterms:created>
  <dcterms:modified xsi:type="dcterms:W3CDTF">2019-04-23T07:32:00Z</dcterms:modified>
</cp:coreProperties>
</file>